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п.г.т.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Пегушина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Укубасовой Базаркуль Сартаевны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гражданки</w:t>
      </w:r>
      <w:r>
        <w:rPr>
          <w:rFonts w:ascii="Times New Roman" w:eastAsia="Times New Roman" w:hAnsi="Times New Roman" w:cs="Times New Roman"/>
        </w:rPr>
        <w:t xml:space="preserve"> Российской Федерации, </w:t>
      </w:r>
      <w:r>
        <w:rPr>
          <w:rFonts w:ascii="Times New Roman" w:eastAsia="Times New Roman" w:hAnsi="Times New Roman" w:cs="Times New Roman"/>
        </w:rPr>
        <w:t>зарегистрированной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проживающей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месту жительства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п.г.т. Излучинске </w:t>
      </w:r>
      <w:r>
        <w:rPr>
          <w:rStyle w:val="cat-Addressgrp-2rplc-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округа-Югры, </w:t>
      </w:r>
      <w:r>
        <w:rPr>
          <w:rStyle w:val="cat-Addressgrp-3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водител</w:t>
      </w:r>
      <w:r>
        <w:rPr>
          <w:rFonts w:ascii="Times New Roman" w:eastAsia="Times New Roman" w:hAnsi="Times New Roman" w:cs="Times New Roman"/>
        </w:rPr>
        <w:t>ьское удостоверение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3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3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 августа 2023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ноября 2023 года в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Укубасова Б.С.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>Мицубиси Лансер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1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6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7rplc-1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</w:t>
      </w:r>
      <w:r>
        <w:rPr>
          <w:rFonts w:ascii="Times New Roman" w:eastAsia="Times New Roman" w:hAnsi="Times New Roman" w:cs="Times New Roman"/>
        </w:rPr>
        <w:t>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5rplc-2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выехал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</w:rPr>
        <w:t xml:space="preserve">в нарушение требований п. 11.4 Правил дорожного движения Российской Федерации, совершив обгон двигавшихся в попутном направлении транспортных средств на </w:t>
      </w:r>
      <w:r>
        <w:rPr>
          <w:rFonts w:ascii="Times New Roman" w:eastAsia="Times New Roman" w:hAnsi="Times New Roman" w:cs="Times New Roman"/>
        </w:rPr>
        <w:t>мосту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11 декабря 2023</w:t>
      </w:r>
      <w:r>
        <w:rPr>
          <w:rFonts w:ascii="Times New Roman" w:eastAsia="Times New Roman" w:hAnsi="Times New Roman" w:cs="Times New Roman"/>
        </w:rPr>
        <w:t xml:space="preserve"> года определением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2 </w:t>
      </w:r>
      <w:r>
        <w:rPr>
          <w:rFonts w:ascii="Times New Roman" w:eastAsia="Times New Roman" w:hAnsi="Times New Roman" w:cs="Times New Roman"/>
        </w:rPr>
        <w:t xml:space="preserve">Нижневартовского судебного района </w:t>
      </w:r>
      <w:r>
        <w:rPr>
          <w:rStyle w:val="cat-Addressgrp-8rplc-2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9rplc-2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удовлетворено ходатайство </w:t>
      </w:r>
      <w:r>
        <w:rPr>
          <w:rFonts w:ascii="Times New Roman" w:eastAsia="Times New Roman" w:hAnsi="Times New Roman" w:cs="Times New Roman"/>
        </w:rPr>
        <w:t>Укубасовой Б.С.</w:t>
      </w:r>
      <w:r>
        <w:rPr>
          <w:rFonts w:ascii="Times New Roman" w:eastAsia="Times New Roman" w:hAnsi="Times New Roman" w:cs="Times New Roman"/>
        </w:rPr>
        <w:t>, дело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  <w:r>
        <w:rPr>
          <w:rFonts w:ascii="Times New Roman" w:eastAsia="Times New Roman" w:hAnsi="Times New Roman" w:cs="Times New Roman"/>
        </w:rPr>
        <w:t xml:space="preserve"> Укубасовой Б.С.</w:t>
      </w:r>
      <w:r>
        <w:rPr>
          <w:rFonts w:ascii="Times New Roman" w:eastAsia="Times New Roman" w:hAnsi="Times New Roman" w:cs="Times New Roman"/>
        </w:rPr>
        <w:t xml:space="preserve"> передано мировому судье судебного участка № 3 </w:t>
      </w:r>
      <w:r>
        <w:rPr>
          <w:rFonts w:ascii="Times New Roman" w:eastAsia="Times New Roman" w:hAnsi="Times New Roman" w:cs="Times New Roman"/>
        </w:rPr>
        <w:t xml:space="preserve">Нижневартовского судебного района </w:t>
      </w:r>
      <w:r>
        <w:rPr>
          <w:rStyle w:val="cat-Addressgrp-0rplc-2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для рассмотрения по месту жительства лица, в отношении которого ведется производство по делу об административном правонарушении.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Укубасова Б.С.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явилась, о времени и месте рассмотрения де</w:t>
      </w:r>
      <w:r>
        <w:rPr>
          <w:rFonts w:ascii="Times New Roman" w:eastAsia="Times New Roman" w:hAnsi="Times New Roman" w:cs="Times New Roman"/>
        </w:rPr>
        <w:t>ла извещена надлежащим образом</w:t>
      </w:r>
      <w:r>
        <w:rPr>
          <w:rFonts w:ascii="Times New Roman" w:eastAsia="Times New Roman" w:hAnsi="Times New Roman" w:cs="Times New Roman"/>
        </w:rPr>
        <w:t>, ходатайство об отложении судебного заседания не заявила, просила рассмотреть дело об административном правонарушении в ее отсутствие.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557981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ноября 2023 года</w:t>
      </w:r>
      <w:r>
        <w:rPr>
          <w:rFonts w:ascii="Times New Roman" w:eastAsia="Times New Roman" w:hAnsi="Times New Roman" w:cs="Times New Roman"/>
        </w:rPr>
        <w:t xml:space="preserve">, согласно </w:t>
      </w:r>
      <w:r>
        <w:rPr>
          <w:rFonts w:ascii="Times New Roman" w:eastAsia="Times New Roman" w:hAnsi="Times New Roman" w:cs="Times New Roman"/>
        </w:rPr>
        <w:t xml:space="preserve">которому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ноября 2023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 xml:space="preserve"> минут на </w:t>
      </w:r>
      <w:r>
        <w:rPr>
          <w:rStyle w:val="cat-Addressgrp-10rplc-3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Укубасова Б.С.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Fonts w:ascii="Times New Roman" w:eastAsia="Times New Roman" w:hAnsi="Times New Roman" w:cs="Times New Roman"/>
        </w:rPr>
        <w:t>Мицубиси Лансер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35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совершила обгон впереди движущегося транспортного средства с выездом на полосу, предназначенную для встречного движения, на мосту;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10rplc-3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Fonts w:ascii="Times New Roman" w:eastAsia="Times New Roman" w:hAnsi="Times New Roman" w:cs="Times New Roman"/>
        </w:rPr>
        <w:t>Мицубиси Лансер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3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</w:t>
      </w:r>
      <w:r>
        <w:rPr>
          <w:rStyle w:val="cat-Addressgrp-4rplc-3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сторону </w:t>
      </w:r>
      <w:r>
        <w:rPr>
          <w:rFonts w:ascii="Times New Roman" w:eastAsia="Times New Roman" w:hAnsi="Times New Roman" w:cs="Times New Roman"/>
        </w:rPr>
        <w:br/>
      </w:r>
      <w:r>
        <w:rPr>
          <w:rStyle w:val="cat-Addressgrp-5rplc-4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обогнал, выехав на полосу встречного движения, транспортное средство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мосту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схеме указаны место расположения дорожного знака </w:t>
      </w:r>
      <w:r>
        <w:rPr>
          <w:rFonts w:ascii="Times New Roman" w:eastAsia="Times New Roman" w:hAnsi="Times New Roman" w:cs="Times New Roman"/>
          <w:sz w:val="25"/>
          <w:szCs w:val="25"/>
        </w:rPr>
        <w:t>6.11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Наименование объекта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«Ручей»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дорожная разметка 1.1, </w:t>
      </w:r>
      <w:r>
        <w:rPr>
          <w:rFonts w:ascii="Times New Roman" w:eastAsia="Times New Roman" w:hAnsi="Times New Roman" w:cs="Times New Roman"/>
          <w:sz w:val="25"/>
          <w:szCs w:val="25"/>
        </w:rPr>
        <w:t>ширина полосы – 3,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транспортного средства </w:t>
      </w:r>
      <w:r>
        <w:rPr>
          <w:rFonts w:ascii="Times New Roman" w:eastAsia="Times New Roman" w:hAnsi="Times New Roman" w:cs="Times New Roman"/>
        </w:rPr>
        <w:t>Мицубиси Лансер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42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- 1,8 м., ширина обгоняемого транспортного средства – 2,5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Укубасова Б.С.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>с 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12rplc-4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13rplc-4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>26 км. указанной автодороги</w:t>
      </w:r>
      <w:r>
        <w:rPr>
          <w:rFonts w:ascii="Times New Roman" w:eastAsia="Times New Roman" w:hAnsi="Times New Roman" w:cs="Times New Roman"/>
        </w:rPr>
        <w:t xml:space="preserve">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мост через «Ручей»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>Мицубиси Лансер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4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мосту</w:t>
      </w:r>
      <w:r>
        <w:rPr>
          <w:rFonts w:ascii="Times New Roman" w:eastAsia="Times New Roman" w:hAnsi="Times New Roman" w:cs="Times New Roman"/>
        </w:rPr>
        <w:t xml:space="preserve"> через ручей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</w:rPr>
        <w:t>Укубасовой Б.С.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Укубасовой Б.С.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 11.4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Федерации,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>бгон запрещен: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регулируемых перекрестках, а также на нерегулируемых перекрестках при движении по дороге, не являющейся главной;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пешеходных переходах;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метров перед ними;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мостах, путепроводах, эстакадах и под ними, а также в тоннелях;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</w:rPr>
        <w:t>Укубасовой Б.С.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13rplc-5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видеозаписью.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Мировым судьей в судебном заседании установлено, что в протоколе об административном правонарушении, в схеме совершения административного правонарушения ошибочно указано место совершения административного правонарушения – </w:t>
      </w:r>
      <w:r>
        <w:rPr>
          <w:rStyle w:val="cat-Addressgrp-14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фактически </w:t>
      </w:r>
      <w:r>
        <w:rPr>
          <w:rFonts w:ascii="Times New Roman" w:eastAsia="Times New Roman" w:hAnsi="Times New Roman" w:cs="Times New Roman"/>
        </w:rPr>
        <w:t>Укубасовой Б.С.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совершено административное правонарушение на </w:t>
      </w:r>
      <w:r>
        <w:rPr>
          <w:rStyle w:val="cat-Addressgrp-15rplc-5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что подтверждается видеозаписью, проектом организации дорожного движения.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Укубасова Б.С.</w:t>
      </w:r>
      <w:r>
        <w:rPr>
          <w:rFonts w:ascii="Times New Roman" w:eastAsia="Times New Roman" w:hAnsi="Times New Roman" w:cs="Times New Roman"/>
        </w:rPr>
        <w:t xml:space="preserve"> не совершал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>Укубасовой Б.С.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</w:rPr>
        <w:t>ния, данные о личности виновной, ее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Укубасовой Б.С.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Укубасову Базаркуль Сартаевну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Реквизиты для уплаты административного штрафа: УФК по </w:t>
      </w:r>
      <w:r>
        <w:rPr>
          <w:rStyle w:val="cat-Addressgrp-16rplc-6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7rplc-6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БИК 007162163, КБК 18811601123010001140, УИН 18810486230280014</w:t>
      </w:r>
      <w:r>
        <w:rPr>
          <w:rFonts w:ascii="Times New Roman" w:eastAsia="Times New Roman" w:hAnsi="Times New Roman" w:cs="Times New Roman"/>
        </w:rPr>
        <w:t>466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6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6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4"/>
          <w:szCs w:val="24"/>
        </w:rPr>
      </w:pPr>
      <w:r>
        <w:rPr>
          <w:rStyle w:val="cat-UserDefinedgrp-40rplc-68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9rplc-3">
    <w:name w:val="cat-UserDefined grp-39 rplc-3"/>
    <w:basedOn w:val="DefaultParagraphFont"/>
  </w:style>
  <w:style w:type="character" w:customStyle="1" w:styleId="cat-Addressgrp-1rplc-5">
    <w:name w:val="cat-Address grp-1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ExternalSystemDefinedgrp-37rplc-8">
    <w:name w:val="cat-ExternalSystemDefined grp-37 rplc-8"/>
    <w:basedOn w:val="DefaultParagraphFont"/>
  </w:style>
  <w:style w:type="character" w:customStyle="1" w:styleId="cat-ExternalSystemDefinedgrp-38rplc-10">
    <w:name w:val="cat-ExternalSystemDefined grp-38 rplc-10"/>
    <w:basedOn w:val="DefaultParagraphFont"/>
  </w:style>
  <w:style w:type="character" w:customStyle="1" w:styleId="cat-CarNumbergrp-30rplc-16">
    <w:name w:val="cat-CarNumber grp-30 rplc-16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7rplc-18">
    <w:name w:val="cat-Address grp-7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Addressgrp-8rplc-22">
    <w:name w:val="cat-Address grp-8 rplc-22"/>
    <w:basedOn w:val="DefaultParagraphFont"/>
  </w:style>
  <w:style w:type="character" w:customStyle="1" w:styleId="cat-Addressgrp-9rplc-23">
    <w:name w:val="cat-Address grp-9 rplc-23"/>
    <w:basedOn w:val="DefaultParagraphFont"/>
  </w:style>
  <w:style w:type="character" w:customStyle="1" w:styleId="cat-Addressgrp-0rplc-26">
    <w:name w:val="cat-Address grp-0 rplc-26"/>
    <w:basedOn w:val="DefaultParagraphFont"/>
  </w:style>
  <w:style w:type="character" w:customStyle="1" w:styleId="cat-Addressgrp-10rplc-32">
    <w:name w:val="cat-Address grp-10 rplc-32"/>
    <w:basedOn w:val="DefaultParagraphFont"/>
  </w:style>
  <w:style w:type="character" w:customStyle="1" w:styleId="cat-CarNumbergrp-30rplc-35">
    <w:name w:val="cat-CarNumber grp-30 rplc-35"/>
    <w:basedOn w:val="DefaultParagraphFont"/>
  </w:style>
  <w:style w:type="character" w:customStyle="1" w:styleId="cat-Addressgrp-10rplc-36">
    <w:name w:val="cat-Address grp-10 rplc-36"/>
    <w:basedOn w:val="DefaultParagraphFont"/>
  </w:style>
  <w:style w:type="character" w:customStyle="1" w:styleId="cat-CarNumbergrp-30rplc-38">
    <w:name w:val="cat-CarNumber grp-30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CarNumbergrp-30rplc-42">
    <w:name w:val="cat-CarNumber grp-30 rplc-42"/>
    <w:basedOn w:val="DefaultParagraphFont"/>
  </w:style>
  <w:style w:type="character" w:customStyle="1" w:styleId="cat-Addressgrp-12rplc-45">
    <w:name w:val="cat-Address grp-12 rplc-45"/>
    <w:basedOn w:val="DefaultParagraphFont"/>
  </w:style>
  <w:style w:type="character" w:customStyle="1" w:styleId="cat-Addressgrp-13rplc-46">
    <w:name w:val="cat-Address grp-13 rplc-46"/>
    <w:basedOn w:val="DefaultParagraphFont"/>
  </w:style>
  <w:style w:type="character" w:customStyle="1" w:styleId="cat-CarNumbergrp-30rplc-48">
    <w:name w:val="cat-CarNumber grp-30 rplc-48"/>
    <w:basedOn w:val="DefaultParagraphFont"/>
  </w:style>
  <w:style w:type="character" w:customStyle="1" w:styleId="cat-Addressgrp-13rplc-52">
    <w:name w:val="cat-Address grp-13 rplc-52"/>
    <w:basedOn w:val="DefaultParagraphFont"/>
  </w:style>
  <w:style w:type="character" w:customStyle="1" w:styleId="cat-Addressgrp-14rplc-53">
    <w:name w:val="cat-Address grp-14 rplc-53"/>
    <w:basedOn w:val="DefaultParagraphFont"/>
  </w:style>
  <w:style w:type="character" w:customStyle="1" w:styleId="cat-Addressgrp-15rplc-55">
    <w:name w:val="cat-Address grp-15 rplc-55"/>
    <w:basedOn w:val="DefaultParagraphFont"/>
  </w:style>
  <w:style w:type="character" w:customStyle="1" w:styleId="cat-Addressgrp-16rplc-60">
    <w:name w:val="cat-Address grp-16 rplc-60"/>
    <w:basedOn w:val="DefaultParagraphFont"/>
  </w:style>
  <w:style w:type="character" w:customStyle="1" w:styleId="cat-Addressgrp-17rplc-64">
    <w:name w:val="cat-Address grp-17 rplc-64"/>
    <w:basedOn w:val="DefaultParagraphFont"/>
  </w:style>
  <w:style w:type="character" w:customStyle="1" w:styleId="cat-Addressgrp-0rplc-66">
    <w:name w:val="cat-Address grp-0 rplc-66"/>
    <w:basedOn w:val="DefaultParagraphFont"/>
  </w:style>
  <w:style w:type="character" w:customStyle="1" w:styleId="cat-Addressgrp-0rplc-67">
    <w:name w:val="cat-Address grp-0 rplc-67"/>
    <w:basedOn w:val="DefaultParagraphFont"/>
  </w:style>
  <w:style w:type="character" w:customStyle="1" w:styleId="cat-UserDefinedgrp-40rplc-68">
    <w:name w:val="cat-UserDefined grp-40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